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УТВЕРЖДЕНА</w:t>
      </w:r>
    </w:p>
    <w:p>
      <w:pPr>
        <w:pStyle w:val="Normal"/>
        <w:spacing w:lineRule="auto" w:line="240" w:before="0"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  <w:br/>
        <w:t>Чебаркульского городского округа</w:t>
      </w:r>
    </w:p>
    <w:p>
      <w:pPr>
        <w:pStyle w:val="Normal"/>
        <w:spacing w:lineRule="auto" w:line="240" w:before="0"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г. №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</w:t>
        <w:tab/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/>
      </w:pPr>
      <w:r>
        <w:rPr/>
        <w:t>Муниципальная программа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(далее - программа)</w:t>
      </w:r>
    </w:p>
    <w:p>
      <w:pPr>
        <w:pStyle w:val="ConsPlusNormal"/>
        <w:rPr/>
      </w:pPr>
      <w:r>
        <w:rPr/>
      </w:r>
    </w:p>
    <w:p>
      <w:pPr>
        <w:pStyle w:val="Style61"/>
        <w:widowControl/>
        <w:suppressAutoHyphens w:val="true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>
      <w:pPr>
        <w:pStyle w:val="Style61"/>
        <w:widowControl/>
        <w:suppressAutoHyphens w:val="true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3" w:type="dxa"/>
        <w:jc w:val="left"/>
        <w:tblInd w:w="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84"/>
        <w:gridCol w:w="7678"/>
      </w:tblGrid>
      <w:tr>
        <w:trPr>
          <w:trHeight w:val="486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Чебаркульского городского округа (отдел ГО и ЧС и взаимодействия с правоохранительными органами)</w:t>
            </w:r>
          </w:p>
        </w:tc>
      </w:tr>
      <w:tr>
        <w:trPr>
          <w:trHeight w:val="884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дежурно-диспетчерская служба Чебаркульского городского округа»</w:t>
            </w:r>
          </w:p>
        </w:tc>
      </w:tr>
      <w:tr>
        <w:trPr>
          <w:trHeight w:val="151" w:hRule="atLeast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Чебаркульского городского округа</w:t>
            </w:r>
          </w:p>
        </w:tc>
      </w:tr>
      <w:tr>
        <w:trPr>
          <w:trHeight w:val="350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цели муниципальной программы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и снижение риска возникновения чрезвычайных ситуаций, а также минимизация социального,  экономического и экологического ущерба, наносимого населению, экономике и природной среде, от  чрезвычайных ситуаций природного и техногенного характера, пожаров и  происшествий на водных объектах Чебаркульского городского округа</w:t>
            </w:r>
          </w:p>
        </w:tc>
      </w:tr>
      <w:tr>
        <w:trPr>
          <w:trHeight w:val="1032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муниципальной программы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Normal"/>
              <w:ind w:firstLine="284"/>
              <w:jc w:val="both"/>
              <w:rPr/>
            </w:pPr>
            <w:r>
              <w:rPr/>
              <w:t>- обеспечение эффективной структуры сил и средств для предупреждения и ликвидации ЧС, а также для решения задач в области гражданской обороны, пожарной безопасности и безопасности людей на водных объектах</w:t>
            </w:r>
            <w:r>
              <w:rPr>
                <w:bCs/>
                <w:iCs/>
              </w:rPr>
              <w:t xml:space="preserve"> Чебаркульского городского округа</w:t>
            </w:r>
            <w:r>
              <w:rPr/>
              <w:t>;</w:t>
            </w:r>
          </w:p>
          <w:p>
            <w:pPr>
              <w:pStyle w:val="NoSpacing"/>
              <w:ind w:firstLine="284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повышение безопасности населения и снижение социально-экономического ущерба от ЧС и происшествий путем улучшения взаимодействия экстренных оперативных служб и сокращения среднего времени их комплексного реагирования на обращения населения по единому номеру «112» на территории </w:t>
            </w:r>
            <w:r>
              <w:rPr>
                <w:bCs/>
                <w:iCs/>
                <w:sz w:val="28"/>
                <w:szCs w:val="28"/>
              </w:rPr>
              <w:t>Чебаркульского городского округа;</w:t>
            </w:r>
          </w:p>
          <w:p>
            <w:pPr>
              <w:pStyle w:val="Normal"/>
              <w:spacing w:lineRule="auto" w:line="240" w:before="0"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 материальное обеспечение мероприятий в соответствии с планом действий по предупреждению и ликвидации чрезвычайных ситуаций на территории Чебаркульского городского округа;</w:t>
            </w:r>
          </w:p>
          <w:p>
            <w:pPr>
              <w:pStyle w:val="ConsPlusNormal"/>
              <w:numPr>
                <w:ilvl w:val="0"/>
                <w:numId w:val="0"/>
              </w:numPr>
              <w:ind w:firstLine="284"/>
              <w:jc w:val="both"/>
              <w:outlineLvl w:val="1"/>
              <w:rPr/>
            </w:pPr>
            <w:r>
              <w:rPr/>
              <w:t>- организация выполнения мероприятий обеспечения пожарной безопасности на территории Чебаркульского городского округа;</w:t>
            </w:r>
          </w:p>
          <w:p>
            <w:pPr>
              <w:pStyle w:val="Normal"/>
              <w:spacing w:lineRule="auto" w:line="240" w:before="0" w:after="0"/>
              <w:ind w:firstLine="28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 обеспечение своевременного и гарантированного доведения достоверной информации об угрозе возникновения или о возникновении чрезвычайных ситуаций, правилах поведения и способах защиты в такой ситуации до населения Чебаркульского городского округа;</w:t>
            </w:r>
          </w:p>
          <w:p>
            <w:pPr>
              <w:pStyle w:val="Normal"/>
              <w:spacing w:lineRule="auto" w:line="240" w:before="0" w:after="0"/>
              <w:ind w:firstLine="28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 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аварийно восстановительного ремонта многоквартирных домов для предотвращения чрезвычайной ситуации.</w:t>
            </w:r>
          </w:p>
        </w:tc>
      </w:tr>
      <w:tr>
        <w:trPr>
          <w:trHeight w:val="1204" w:hRule="atLeast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bookmarkStart w:id="0" w:name="_Toc263021579"/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4-2026 год</w:t>
            </w:r>
            <w:bookmarkEnd w:id="0"/>
            <w:r>
              <w:rPr>
                <w:sz w:val="28"/>
                <w:szCs w:val="28"/>
              </w:rPr>
              <w:t>ы</w:t>
            </w:r>
          </w:p>
        </w:tc>
      </w:tr>
      <w:tr>
        <w:trPr>
          <w:trHeight w:val="983" w:hRule="atLeast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не предусмотрены</w:t>
            </w:r>
          </w:p>
        </w:tc>
      </w:tr>
      <w:tr>
        <w:trPr>
          <w:trHeight w:val="304" w:hRule="atLeast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Объёмы бюджетных ассигнований муниципальной программы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реализацию муниципальной программы – 3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0 </w:t>
            </w:r>
            <w:r>
              <w:rPr>
                <w:sz w:val="28"/>
                <w:szCs w:val="28"/>
              </w:rPr>
              <w:t>762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288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рублей, в том числе:</w:t>
            </w:r>
          </w:p>
          <w:p>
            <w:pPr>
              <w:pStyle w:val="NoSpacing"/>
              <w:tabs>
                <w:tab w:val="clear" w:pos="709"/>
                <w:tab w:val="right" w:pos="6876" w:leader="none"/>
              </w:tabs>
              <w:ind w:firstLine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из областного бюджета –</w:t>
              <w:tab/>
              <w:t>70 500,00 рублей;</w:t>
            </w:r>
          </w:p>
          <w:p>
            <w:pPr>
              <w:pStyle w:val="NoSpacing"/>
              <w:tabs>
                <w:tab w:val="clear" w:pos="709"/>
                <w:tab w:val="right" w:pos="6876" w:leader="none"/>
              </w:tabs>
              <w:ind w:firstLine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из местного бюджета –</w:t>
              <w:tab/>
              <w:t>3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691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788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рублей.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бюджетных ассигнований муниципальной программы по годам:</w:t>
            </w:r>
          </w:p>
          <w:p>
            <w:pPr>
              <w:pStyle w:val="NoSpacing"/>
              <w:tabs>
                <w:tab w:val="clear" w:pos="709"/>
                <w:tab w:val="right" w:pos="5883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  <w:tab/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10 </w:t>
            </w:r>
            <w:r>
              <w:rPr>
                <w:sz w:val="28"/>
                <w:szCs w:val="28"/>
              </w:rPr>
              <w:t>179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729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рублей, в том числе: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областного бюджета –</w:t>
              <w:tab/>
              <w:t>23 500,00 рублей;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местного бюджета –</w:t>
              <w:tab/>
            </w:r>
            <w:r>
              <w:rPr>
                <w:sz w:val="28"/>
                <w:szCs w:val="28"/>
              </w:rPr>
              <w:t>310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174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229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рублей;</w:t>
            </w:r>
          </w:p>
          <w:p>
            <w:pPr>
              <w:pStyle w:val="NoSpacing"/>
              <w:tabs>
                <w:tab w:val="clear" w:pos="709"/>
                <w:tab w:val="right" w:pos="5883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  <w:tab/>
              <w:t>10 350 530,00 рублей, в том числе: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областного бюджета –</w:t>
              <w:tab/>
              <w:t>23 500,00 рублей;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местного бюджета –</w:t>
              <w:tab/>
              <w:t>10 327 030,00 рублей;</w:t>
            </w:r>
          </w:p>
          <w:p>
            <w:pPr>
              <w:pStyle w:val="NoSpacing"/>
              <w:tabs>
                <w:tab w:val="clear" w:pos="709"/>
                <w:tab w:val="right" w:pos="5883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</w:t>
            </w:r>
            <w:r>
              <w:rPr>
                <w:sz w:val="32"/>
                <w:szCs w:val="28"/>
              </w:rPr>
              <w:tab/>
            </w:r>
            <w:r>
              <w:rPr>
                <w:sz w:val="28"/>
                <w:szCs w:val="24"/>
              </w:rPr>
              <w:t>10 214 029</w:t>
            </w:r>
            <w:r>
              <w:rPr>
                <w:sz w:val="28"/>
                <w:szCs w:val="28"/>
              </w:rPr>
              <w:t>,00 рублей, в том числе: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областного бюджета –</w:t>
              <w:tab/>
              <w:t>23 500,00 рублей;</w:t>
            </w:r>
          </w:p>
          <w:p>
            <w:pPr>
              <w:pStyle w:val="NoSpacing"/>
              <w:tabs>
                <w:tab w:val="clear" w:pos="709"/>
                <w:tab w:val="right" w:pos="5742" w:leader="none"/>
              </w:tabs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местного бюджета –</w:t>
              <w:tab/>
              <w:t>10 190 529,00 рублей.</w:t>
            </w:r>
          </w:p>
        </w:tc>
      </w:tr>
      <w:tr>
        <w:trPr>
          <w:trHeight w:val="169" w:hRule="atLeast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Доля отработанных вызовов поступившей информации об угрозе возникновения чрезвычайных ситуаций;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Доля обученного населения мерам пожарной безопасности от общего количества населения ЧГО;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Кол</w:t>
            </w:r>
            <w:r>
              <w:rPr>
                <w:sz w:val="28"/>
                <w:szCs w:val="28"/>
              </w:rPr>
              <w:t>ичеств</w:t>
            </w:r>
            <w:r>
              <w:rPr>
                <w:sz w:val="28"/>
                <w:szCs w:val="28"/>
              </w:rPr>
              <w:t>о проведенных профилактических мероприятий по пожарной безопасности;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Доля населения, охваченного пропагандой пожарной безопасности и безопасности на водных объектах;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Размещение информации, направленной на обеспечение пожарной безопасности и безопасности на водных объектах на сайте администрации,</w:t>
            </w:r>
            <w:r>
              <w:rPr>
                <w:sz w:val="28"/>
                <w:szCs w:val="28"/>
                <w:shd w:fill="FFFFFF" w:val="clear"/>
              </w:rPr>
              <w:t xml:space="preserve"> информационных стендах, баннерах, брошюрах</w:t>
            </w:r>
            <w:r>
              <w:rPr>
                <w:rFonts w:eastAsia="Calibri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fill="FFFFFF" w:val="clear"/>
              </w:rPr>
              <w:t>6. </w:t>
            </w:r>
            <w:r>
              <w:rPr>
                <w:sz w:val="28"/>
                <w:szCs w:val="28"/>
              </w:rPr>
              <w:t>Организация возможности приема сообщений по возникновению или угрозе ландшафтных (природных) пожаров средствами службы МКУ ЕДДС -112 Чебаркульского городского округа;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Количество приобретенных раскладушек на обеспечение пунктов временного размещения населения, пострадавшего в чрезвычайных ситуациях (далее – ПВР);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 Количество приобретенных индивидуальных аптечек;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 Протяженность обустроенной минерализованной полосы вдоль границ Чебаркульского городского округа.</w:t>
            </w:r>
          </w:p>
        </w:tc>
      </w:tr>
      <w:tr>
        <w:trPr>
          <w:trHeight w:val="1401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hanging="0" w:right="-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Доля отработанных вызовов  поступившей информации об угрозе возникновения чрезвычайных ситуаций и террористических актов: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- 100%;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- 100%;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- 100%.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Доля обученного населения мерам пожарной безопасности от общего количества населения ЧГО: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- 82%;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- 83%;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- 85%.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Количество проведенных профилактических мероприятий по пожарной безопасности: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- 11 шт.;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- 13 шт.;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- 14 шт.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Доля населения, охваченного пропагандой пожарной безопасности и безопасности на водных объектах: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80%;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82%;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85%.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 Размещение информации, направленной на обеспечение пожарной безопасности и безопасности людей на водных объектах на сайте администрации, </w:t>
            </w:r>
            <w:r>
              <w:rPr>
                <w:sz w:val="28"/>
                <w:szCs w:val="28"/>
                <w:shd w:fill="FFFFFF" w:val="clear"/>
              </w:rPr>
              <w:t>информационных стендах, баннерах, брошюрах</w:t>
            </w:r>
            <w:r>
              <w:rPr>
                <w:sz w:val="28"/>
                <w:szCs w:val="28"/>
              </w:rPr>
              <w:t>, да.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fill="FFFFFF" w:val="clear"/>
              </w:rPr>
              <w:t>6. </w:t>
            </w:r>
            <w:r>
              <w:rPr>
                <w:sz w:val="28"/>
                <w:szCs w:val="28"/>
              </w:rPr>
              <w:t>Организация возможности приема сообщений по возникновению или угрозе ландшафтных (природных) пожаров средствами службы МКУ ЕДДС -112 Чебаркульского городского округа: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по мере необходимости;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по мере необходимости;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по мере необходимости.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Количество приобретенных раскладушек на обеспечение ПВР: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50 шт.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 Количество приобретенных индивидуальных аптечек: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шт.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 Протяженность обустроенной минерализованной полосы вдоль границ Чебаркульского городского округа:</w:t>
            </w:r>
          </w:p>
          <w:p>
            <w:pPr>
              <w:pStyle w:val="NoSpacing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 км.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p>
      <w:pPr>
        <w:pStyle w:val="NoSpacing"/>
        <w:spacing w:before="0" w:after="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1. Содержание проблемы</w:t>
        <w:br/>
        <w:t>и обоснование необходимости ее решения программными методами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На территории Чебаркульского городского округа существует угроза чрезвычайных ситуаций (далее – ЧС) природного и техногенного характера и тенденция роста количества и масштабов последствий чрезвычайных ситуаций, что заставляет искать новые решения проблемы защиты населения и территорий от чрезвычайных ситуаций, предвидеть будущие угрозы, риски и опасности, развивать методы их прогноза и предупреждения. Вопросы местного значения предполагают непосредственное обеспечение жизнедеятельности населения муниципального образования.</w:t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Муниципальная программа 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 разработана согласно пункта 28 статьи 16 Федерального закона от 06.10.2003 № 131-ФЗ «Об общих принципах организации местного самоуправления в Российской Федерации».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Муниципальная программа основывается на необходимости выполнения на территории Чебаркульского городского округа мероприятий в сфере предупреждения возникновения и развития чрезвычайных ситуаций, исходя из реальной ситуации, и сформирована с учетом нормативно-правовых, социально-экономических, финансовых, и иных условий организации и выполнения этих мероприятий. Муниципальная программа не включает решения всех проблем города в части ЧС. В условиях ограниченности бюджетных средств, муниципальная программа ориентирована на решение насущных проблем МКУ «Единая дежурно-диспетчерская служба Чебаркульского городского округа».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чрезвычайных ситуаций являются: изношенность основных производственных фондов, отсутствие современных систем управления опасными процессами, беспечность и халатность людей. Обеспечение безопасности Чебаркульского городского округа является необходимым условием обеспечения жизнедеятельности населения, соблюдения их законных прав и свобод, эффективного функционирования системы управления, экономики, городского хозяйства, транспорта и связи, сохранения на необходимом уровне параметров среды обитания, развития социальной и духовной сфер общества.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Для решения указанных проблем необходимо содержание единой дежурно-диспетчерской службы и обеспечение ее работоспособности. Программно-целевой метод решения поставленных задач обеспечит предупреждение возникновения и развития чрезвычайных ситуаций, повышение готовности и способности к ликвидации чрезвычайных ситуаций и их последствий, а так же повысит эффективность расходования бюджетных средств.</w:t>
      </w:r>
      <w:r>
        <w:br w:type="page"/>
      </w:r>
    </w:p>
    <w:p>
      <w:pPr>
        <w:pStyle w:val="NoSpacing"/>
        <w:spacing w:before="0" w:after="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2. Основные цели и задачи муниципальной программы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/>
      </w:pPr>
      <w:r>
        <w:rPr/>
        <w:t>Целью реализации муниципальной программы является предотвращение и снижение риска возникновения чрезвычайных ситуаций, а также минимизация социального, экономического и экологического 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 Чебаркульского городского округа.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/>
      </w:pPr>
      <w:r>
        <w:rPr/>
        <w:t>Достижение цели требует формирования комплексного подхода к муниципальному управлению в сфере обеспечения безопасности людей и территорий Чебаркульского городского округа и решения следующих задач: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/>
      </w:pPr>
      <w:r>
        <w:rPr/>
        <w:t>- обеспечение эффективной структуры сил и средств для предупреждения и ликвидации ЧС, а также для решения задач в области гражданской обороны, пожарной безопасности и безопасности людей на водных объектах Чебаркульского городского округа;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- материальное обеспечение мероприятий в соответствии с планом действий по предупреждению и ликвидации чрезвычайных ситуаций на территории Чебаркульского городского округа;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/>
      </w:pPr>
      <w:r>
        <w:rPr/>
        <w:t>- организация выполнения мероприятий обеспечения пожарной безопасности на территории Чебаркульского городского округа;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/>
      </w:pPr>
      <w:r>
        <w:rPr/>
        <w:t>- повышение безопасности населения и снижение социально-экономического ущерба от ЧС и происшествий путем улучшения взаимодействия экстренных оперативных служб и сокращения среднего времени их комплексного реагирования на обращения населения по единому номеру «112» на территории Чебаркульского городского округа.</w:t>
      </w:r>
    </w:p>
    <w:p>
      <w:pPr>
        <w:pStyle w:val="Default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Раздел 3. Сроки и этапы реализации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реализации муниципальной программы: 2024-2026 годы.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Муниципальная программа носит постоянный характер. В силу постоянного характера решаемых задач, выделение отдельных этапов не предусмотрено.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>Раздел 4. Система мероприятий и показатели (индикаторы)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24"/>
          <w:lang w:eastAsia="ru-RU"/>
        </w:rPr>
      </w:pPr>
      <w:r>
        <w:rPr>
          <w:rFonts w:cs="Times New Roman" w:ascii="Times New Roman" w:hAnsi="Times New Roman"/>
          <w:sz w:val="10"/>
          <w:szCs w:val="24"/>
          <w:lang w:eastAsia="ru-RU"/>
        </w:rPr>
      </w:r>
    </w:p>
    <w:tbl>
      <w:tblPr>
        <w:tblStyle w:val="a3"/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4395"/>
        <w:gridCol w:w="3828"/>
        <w:gridCol w:w="2977"/>
        <w:gridCol w:w="1134"/>
        <w:gridCol w:w="2911"/>
      </w:tblGrid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 муниципальной программы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Показатели (индикаторы)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реализа-ции</w:t>
            </w:r>
          </w:p>
        </w:tc>
        <w:tc>
          <w:tcPr>
            <w:tcW w:w="29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(соисполнитель) мероприятия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5920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Цель: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предотвращение и снижение риска возникновения чрезвычайных ситуаций, а также минимизация социального, экономического и экологического 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 Чебаркульского городского округа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Обеспечение эффективной структуры сил и средств для предупреждения и ликвидации ЧС, а также для решения задач в области гражданской обороны, пожарной безопасности и безопасности людей на водных объектах</w:t>
            </w:r>
            <w:r>
              <w:rPr>
                <w:rFonts w:cs="Times New Roman" w:ascii="Times New Roman" w:hAnsi="Times New Roman"/>
                <w:bCs/>
                <w:iCs/>
                <w:kern w:val="0"/>
                <w:sz w:val="24"/>
                <w:szCs w:val="24"/>
                <w:lang w:val="ru-RU" w:bidi="ar-SA"/>
              </w:rPr>
              <w:t xml:space="preserve"> Чебаркульского городского округа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Обеспечение деятельности муниципального казенного учреждения «Единая дежурно-диспетчерская служба Чебаркульского городского округа» (выплаты персоналу, закупка товаров и услуг)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Доля отработанных вызовов  поступившей информации об угрозе возникновения чрезвычайных ситуаций, %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2024-2026 годы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/>
        <w:tc>
          <w:tcPr>
            <w:tcW w:w="675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395" w:type="dxa"/>
            <w:vMerge w:val="restart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Повышение безопасности населения и снижение социально-экономического ущерба от ЧС и происшествий путем улучшения взаимодействия экстренных оперативных служб и сокращения среднего времени их комплексного реагирования на обращения населения по единому номеру «112» на территории </w:t>
            </w:r>
            <w:r>
              <w:rPr>
                <w:rFonts w:cs="Times New Roman" w:ascii="Times New Roman" w:hAnsi="Times New Roman"/>
                <w:bCs/>
                <w:iCs/>
                <w:kern w:val="0"/>
                <w:sz w:val="24"/>
                <w:szCs w:val="24"/>
                <w:lang w:val="ru-RU" w:bidi="ar-SA"/>
              </w:rPr>
              <w:t>Чебаркульского городского округа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обучения населения Чебаркульского городского округа мерам пожарной безопасности в системе курсового обучения по ГО и ЧС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Доля обученного населения мерам пожарной безопасности от общего количества населения ЧГО, %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2024-2026 годы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/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395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Рассмотрение на собраниях граждан вопроса пожарной безопасности, проведение бесед, инструктажей о мерах пожарной безопасности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Количество проведенных профилактических мероприятий по пожарной безопасности, шт.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2024-2026 годы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3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работы по профилактике лесных пожаров, пожаров в жилищном фонде, жилых домах граждан, а также по обеспечению безопасности на водных объектах, с подворным обходом домов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Доля населения, охваченного пропагандой пожарной безопасности и безопасности на водных объектах, %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4-2026 годы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395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Информационное обеспечение в области пожарной безопасности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и безопасности на водных объектах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 xml:space="preserve">Размещение информации, направленной на обеспечение пожарной безопасности и 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безопасности на водных объектах</w:t>
            </w: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 xml:space="preserve"> на сайте  администрации, </w:t>
            </w:r>
            <w:r>
              <w:rPr>
                <w:rFonts w:eastAsia="Times New Roman" w:cs="Calibri"/>
                <w:kern w:val="0"/>
                <w:shd w:fill="FFFFFF" w:val="clear"/>
                <w:lang w:val="ru-RU" w:eastAsia="ru-RU" w:bidi="ar-SA"/>
              </w:rPr>
              <w:t>информационных стендах, баннерах, брошюрах</w:t>
            </w: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, да/нет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4-2026 годы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3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Обеспечение организационных мероприятий по тушению 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территорий,, осуществляемого в соответствии с частью 5 статьи 51 Лесного кодекса Российской Федерации) силами и средствами Челябинской области подсистемы единой государственной  системы предупреждения и ликвидации чрезвычайных ситуаций в соответствии с полномочиями, установленными Федеральным законом «О защите населения и территорий от чрезвычайных ситуаций  природного и техногенного характера»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Организация возможности приема сообщений  по возникновению или  угрозе ландшафтных (природных) пожаров средствами службы МКУ ЕДДС -112 Чебаркульского городского округа, да/нет.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4-2026 годы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/>
        <w:tc>
          <w:tcPr>
            <w:tcW w:w="675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395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  <w:lang w:val="ru-RU" w:bidi="ar-SA"/>
              </w:rPr>
              <w:t>Материальное обеспечение мероприятий в соответствии с планом действий по предупреждению и ликвидации чрезвычайных ситуаций на территории Чебаркульского городского округа</w:t>
            </w:r>
          </w:p>
        </w:tc>
        <w:tc>
          <w:tcPr>
            <w:tcW w:w="3828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ПВР раскладушками для организации эвакуационных мероприятий при возникновении чрезвычайных ситуаций природного или техногенного характера</w:t>
            </w:r>
          </w:p>
        </w:tc>
        <w:tc>
          <w:tcPr>
            <w:tcW w:w="2977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приобретенных раскладушек на обеспечение ПВР, шт.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3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28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Приобретение аптечек индивидуальных для обеспечения мероприятий по ликвидации чрезвычайных ситуаций природного или техногенного характера</w:t>
            </w:r>
          </w:p>
        </w:tc>
        <w:tc>
          <w:tcPr>
            <w:tcW w:w="2977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приобретенных индивидуальных аптечек, шт.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Организация выполнения мероприятий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обеспечения пожарной безопасности на территории Чебаркульского городского округа</w:t>
            </w:r>
          </w:p>
        </w:tc>
        <w:tc>
          <w:tcPr>
            <w:tcW w:w="3828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Устройство минерализованной полосы вдоль границ Чебаркульского городского округа в соответствии с требованиями Правил противопожарного режима</w:t>
            </w:r>
          </w:p>
        </w:tc>
        <w:tc>
          <w:tcPr>
            <w:tcW w:w="2977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lang w:val="ru-RU" w:eastAsia="ru-RU" w:bidi="ar-SA"/>
              </w:rPr>
              <w:t>Протяженность обустроенной минерализованной полосы вдоль границ Чебаркульского городского округа, км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2911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правоохранительными органами)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tbl>
      <w:tblPr>
        <w:tblStyle w:val="a3"/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2"/>
        <w:gridCol w:w="2603"/>
        <w:gridCol w:w="968"/>
        <w:gridCol w:w="2718"/>
        <w:gridCol w:w="1417"/>
        <w:gridCol w:w="1638"/>
        <w:gridCol w:w="1906"/>
        <w:gridCol w:w="1560"/>
        <w:gridCol w:w="2627"/>
      </w:tblGrid>
      <w:tr>
        <w:trPr>
          <w:cantSplit w:val="true"/>
        </w:trPr>
        <w:tc>
          <w:tcPr>
            <w:tcW w:w="4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показателя (индикатора)</w:t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7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Определение показателя (индикатора)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Временные характеристики целевого показателя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19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Базовые показатели, используемые в формуле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 сбора информации и индекс формы отчетности</w:t>
            </w:r>
          </w:p>
        </w:tc>
        <w:tc>
          <w:tcPr>
            <w:tcW w:w="2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за сбор данных по целевому показателю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Доля отработанных вызовов поступившей информации об угрозе возникновения чрезвычайных ситуаций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Реагирование на посту</w:t>
              <w:softHyphen/>
              <w:t>пившую информацию об угрозе возникнове</w:t>
              <w:softHyphen/>
              <w:t>ния чрезвычайных си</w:t>
              <w:softHyphen/>
              <w:t>туаций и террористиче</w:t>
              <w:softHyphen/>
              <w:t>ских актов.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Кв * 100 / Ко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Кв - количество отработанных обращений,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 - количество обращений.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Журнал регистраций обращений в ЕДДС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Доля обученного населения мерам пожарной безопасности от общего количества населения ЧГО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8"/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Курсовое обучение население по ГО и ЧС, КШУ(Т), ОТ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 * 100 / Кж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 - количество обученных,</w:t>
            </w:r>
          </w:p>
          <w:p>
            <w:pPr>
              <w:pStyle w:val="NormalWeb"/>
              <w:widowControl/>
              <w:spacing w:beforeAutospacing="0" w:before="0" w:afterAutospacing="0" w:after="0"/>
              <w:ind w:right="-108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Кж - количество жителей.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Форма «1 ОБУЧ»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проведенных профилактических мероприятий по пожарной безопасности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штуки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8"/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Собрание членов ТСЖ, жителей многоквартирных домов и проживающих в частном секторе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Годовой отчет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Доля населения, охваченного пропагандой пожарной безопасности и безопасности на водных объектах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%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8"/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Проведение бесед по пожарной безопасности и безопасности на вод</w:t>
              <w:softHyphen/>
              <w:t>ных объектах в образо</w:t>
              <w:softHyphen/>
              <w:t>вательных организа</w:t>
              <w:softHyphen/>
              <w:t>циях, жилищном фонде и жилых домах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Кп* 100 / Кж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Кп - количество проинструктированных,</w:t>
            </w:r>
          </w:p>
          <w:p>
            <w:pPr>
              <w:pStyle w:val="NormalWeb"/>
              <w:widowControl/>
              <w:spacing w:beforeAutospacing="0" w:before="0" w:afterAutospacing="0" w:after="0"/>
              <w:ind w:right="-108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Кж – количество жителей.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Ведомости инструктажа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 w:right="-31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Размещение информации, направленной на обеспечение пожарной безопасности и безопасности на водных объектах на сайте администрации,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bidi="ar-SA"/>
              </w:rPr>
              <w:t>информационных стендах, баннерах, брошюрах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Да/ нет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8"/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>Мероприятие по информированию населения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Информация на сайте, </w:t>
            </w:r>
            <w:r>
              <w:rPr>
                <w:kern w:val="0"/>
                <w:shd w:fill="FFFFFF" w:val="clear"/>
                <w:lang w:val="ru-RU" w:bidi="ar-SA"/>
              </w:rPr>
              <w:t>информационных стендах, баннерах, брошюрах</w:t>
            </w:r>
            <w:r>
              <w:rPr>
                <w:kern w:val="0"/>
                <w:lang w:val="ru-RU" w:bidi="ar-SA"/>
              </w:rPr>
              <w:t xml:space="preserve"> 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603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cs="Times New Roman"/>
              </w:rPr>
            </w:pPr>
            <w:r>
              <w:rPr>
                <w:rFonts w:eastAsia="Times New Roman" w:cs="Calibri"/>
                <w:color w:val="auto"/>
                <w:kern w:val="0"/>
                <w:lang w:val="ru-RU" w:eastAsia="ru-RU" w:bidi="ar-SA"/>
              </w:rPr>
              <w:t>Организация возможности приема сообщений по возникновению или угрозе ландшафтных (природных) пожаров средствами службы МКУ ЕДДС - 112 Чебаркульского городского округа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Да/нет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8"/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 xml:space="preserve">Мероприятие по организации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возможности приема сообщений  по возникновению или угрозе ландшафтных (природных) пожаров средствами службы МКУ ЕДДС - 112 Чебаркульского городского округа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Журнал регистраций обращений в ЕДДС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</w:t>
            </w: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Единая дежурно-диспетчерская служба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 xml:space="preserve"> Чебаркульского городского округа»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603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приобретенных раскладушек на обеспечение ПВР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штуки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8"/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Укомплектование ПВР материальными средствами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Накладная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603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приобретенных индивидуальных аптечек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штуки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8"/>
                <w:rFonts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Приобретение материальных средств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Накладная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  <w:tr>
        <w:trPr>
          <w:cantSplit w:val="true"/>
        </w:trPr>
        <w:tc>
          <w:tcPr>
            <w:tcW w:w="482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603" w:type="dxa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lang w:val="ru-RU" w:eastAsia="ru-RU" w:bidi="ar-SA"/>
              </w:rPr>
              <w:t>Протяженность обустроенной минерализованной полосы вдоль границ Чебаркульского городского округа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км</w:t>
            </w:r>
          </w:p>
        </w:tc>
        <w:tc>
          <w:tcPr>
            <w:tcW w:w="27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8"/>
                <w:rFonts w:cs="Times New Roman"/>
                <w:sz w:val="24"/>
                <w:szCs w:val="24"/>
              </w:rPr>
            </w:pPr>
            <w:r>
              <w:rPr>
                <w:rStyle w:val="Style18"/>
                <w:rFonts w:cs="Times New Roman"/>
                <w:kern w:val="0"/>
                <w:sz w:val="24"/>
                <w:szCs w:val="24"/>
                <w:lang w:val="ru-RU"/>
              </w:rPr>
              <w:t xml:space="preserve">Реализация мероприятий по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обеспечению пожарной безопасности на территории Чебаркульского городского округа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1638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906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Акт приема выполненных работ</w:t>
            </w:r>
          </w:p>
        </w:tc>
        <w:tc>
          <w:tcPr>
            <w:tcW w:w="2627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</w:t>
              <w:softHyphen/>
              <w:t>ского округа (отдел ГО и ЧС и взаимодействия с правоохранитель</w:t>
              <w:softHyphen/>
              <w:t>ными органами)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Порядок сбора информации и методика расчета показателей (индикаторов) программы определяется по журналу регистраций обращений в Единую дежурно-диспетчерскую службу.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 недобросовестные исполнители услуг (подрядчики работ);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 риски связанные и изменением бюджетного и налогового законодательства;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 финансовые риски, связанные с финансированием муниципальной программы не в полном объеме за счет бюджетных средств, изменением уровня инфляции, кризисными явлениями.</w:t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Раздел 5. Ресурсное обеспечение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6"/>
          <w:szCs w:val="28"/>
          <w:lang w:eastAsia="ru-RU"/>
        </w:rPr>
      </w:pPr>
      <w:r>
        <w:rPr>
          <w:rFonts w:cs="Times New Roman" w:ascii="Times New Roman" w:hAnsi="Times New Roman"/>
          <w:sz w:val="6"/>
          <w:szCs w:val="28"/>
          <w:lang w:eastAsia="ru-RU"/>
        </w:rPr>
      </w:r>
    </w:p>
    <w:p>
      <w:pPr>
        <w:pStyle w:val="ConsPlusNormal"/>
        <w:ind w:firstLine="709"/>
        <w:jc w:val="both"/>
        <w:rPr/>
      </w:pPr>
      <w:r>
        <w:rPr/>
        <w:t>Ресурсное обеспечение и объёмы финансирования в рамках муниципальной программы 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 рассчитаны на 2024 год и плановый период 2025 и 2026 годов и представлены в таблице.</w:t>
      </w:r>
    </w:p>
    <w:p>
      <w:pPr>
        <w:pStyle w:val="ConsPlusNormal"/>
        <w:rPr>
          <w:sz w:val="6"/>
        </w:rPr>
      </w:pPr>
      <w:r>
        <w:rPr>
          <w:sz w:val="6"/>
        </w:rPr>
      </w:r>
    </w:p>
    <w:p>
      <w:pPr>
        <w:pStyle w:val="ConsPlusNormal"/>
        <w:rPr/>
      </w:pPr>
      <w:r>
        <w:rPr/>
        <w:t>Бюджетные ассигнования и иные средства, направленные на выполнение мероприятий муниципальной программы</w:t>
      </w:r>
    </w:p>
    <w:p>
      <w:pPr>
        <w:pStyle w:val="ConsPlusNormal"/>
        <w:rPr>
          <w:sz w:val="6"/>
        </w:rPr>
      </w:pPr>
      <w:r>
        <w:rPr>
          <w:sz w:val="6"/>
        </w:rPr>
      </w:r>
    </w:p>
    <w:tbl>
      <w:tblPr>
        <w:tblStyle w:val="a3"/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1"/>
        <w:gridCol w:w="5521"/>
        <w:gridCol w:w="1842"/>
        <w:gridCol w:w="2411"/>
        <w:gridCol w:w="1560"/>
        <w:gridCol w:w="1347"/>
        <w:gridCol w:w="1350"/>
        <w:gridCol w:w="1347"/>
      </w:tblGrid>
      <w:tr>
        <w:trPr/>
        <w:tc>
          <w:tcPr>
            <w:tcW w:w="541" w:type="dxa"/>
            <w:vMerge w:val="restart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br/>
              <w:t>п/п</w:t>
            </w:r>
          </w:p>
        </w:tc>
        <w:tc>
          <w:tcPr>
            <w:tcW w:w="5521" w:type="dxa"/>
            <w:vMerge w:val="restart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Наименование программы (подпрограммы), мероприятий программы</w:t>
            </w:r>
          </w:p>
        </w:tc>
        <w:tc>
          <w:tcPr>
            <w:tcW w:w="1842" w:type="dxa"/>
            <w:vMerge w:val="restart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left="-108" w:right="-108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(соисполнитель)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Код</w:t>
            </w:r>
          </w:p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бюджетной классификации</w:t>
            </w:r>
          </w:p>
        </w:tc>
        <w:tc>
          <w:tcPr>
            <w:tcW w:w="1560" w:type="dxa"/>
            <w:vMerge w:val="restart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Источники ресурсного обеспечения</w:t>
            </w:r>
          </w:p>
        </w:tc>
        <w:tc>
          <w:tcPr>
            <w:tcW w:w="4044" w:type="dxa"/>
            <w:gridSpan w:val="3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Объем финансирования,</w:t>
              <w:br/>
              <w:t>рублей</w:t>
            </w:r>
          </w:p>
        </w:tc>
      </w:tr>
      <w:tr>
        <w:trPr/>
        <w:tc>
          <w:tcPr>
            <w:tcW w:w="541" w:type="dxa"/>
            <w:vMerge w:val="continue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cs="Calibri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4 год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2025 год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2026 год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21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42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11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60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347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350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347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Обеспечение деятельности муниципального казенного учреждения «Единая дежурно-диспетчерская служба Чебаркульского городского округа» (выплаты персоналу, закупка товаров и услуг)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10 081 440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10 327 030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10 190 529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435 031051000 30200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10 081 440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10 327 030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10 190 529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обучения населения Чебаркульского городского округа мерам пожарной безопасности в системе курсового обучения по ГО и ЧС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Рассмотрение на собраниях граждан вопроса пожарной безопасности, проведение бесед, инструктажей о мерах пожарной безопасности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Организация работы по профилактике лесных пожаров, пожаров в жилищном фонде, жилых домах граждан, а также по обеспечению безопасности на водных объектах, с подворным обходом домов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Информационное обеспечение в области пожарной безопасности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безопасности на водных объектах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3 000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0310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51000 79080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3 000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Обеспечение организационных мероприятий по тушению 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 силами и средствами Челябинской области подсистемы единой государственной  системы предупреждения и ликвидации чрезвычайных ситуаций в соответствии с полномочиями, установленными Федеральным законом «О защите населения и территорий от чрезвычайных ситуаций  природного и техногенного характера»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Челябинская область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435 031051000 46030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ПВР раскладушками для организации эвакуационных мероприятий при  возникновении чрезвычайных ситуаций природного или техногенного характера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185 616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0310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51000 79081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185 616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Приобретение аптечек индивидуальных для обеспечения мероприятий по ликвидации чрезвычайных ситуаций природного или техногенного характера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9 675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0310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51000 79081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9 675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5521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Устройство минерализованной полосы вдоль границ Чебаркульского городского округа в соответствии с требованиями Правил противопожарного режима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102 840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435 </w:t>
            </w: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0310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51000 79082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102 840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restart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restart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ru-RU" w:eastAsia="ru-RU" w:bidi="ar-SA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righ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Администрация Чебаркульского городского округа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10 406 071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10 350 530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10 214 029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 w:right="-105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23 500</w:t>
            </w:r>
          </w:p>
        </w:tc>
      </w:tr>
      <w:tr>
        <w:trPr>
          <w:trHeight w:val="567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21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val="ru-RU" w:eastAsia="ru-RU" w:bidi="ar-SA"/>
              </w:rPr>
              <w:t>10 382 571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10 327 030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ru-RU" w:eastAsia="ru-RU" w:bidi="ar-SA"/>
              </w:rPr>
              <w:t>10 190 529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567" w:right="567" w:gutter="0" w:header="1134" w:top="1701" w:footer="0" w:bottom="567"/>
          <w:pgNumType w:fmt="decimal"/>
          <w:formProt w:val="false"/>
          <w:textDirection w:val="lrTb"/>
          <w:docGrid w:type="default" w:linePitch="360" w:charSpace="0"/>
        </w:sectPr>
        <w:pStyle w:val="ConsPlus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муниципальной программы составляет 30 970 630,00 рублей, средства местного бюджета по годам:</w:t>
      </w:r>
    </w:p>
    <w:p>
      <w:pPr>
        <w:pStyle w:val="NoSpacing"/>
        <w:tabs>
          <w:tab w:val="clear" w:pos="709"/>
          <w:tab w:val="right" w:pos="4678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2024 год –</w:t>
        <w:tab/>
        <w:t>10 406 071,00 рублей;</w:t>
      </w:r>
    </w:p>
    <w:p>
      <w:pPr>
        <w:pStyle w:val="NoSpacing"/>
        <w:tabs>
          <w:tab w:val="clear" w:pos="709"/>
          <w:tab w:val="right" w:pos="4678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2025 год –</w:t>
        <w:tab/>
        <w:t>10 350 530,00 рублей;</w:t>
      </w:r>
    </w:p>
    <w:p>
      <w:pPr>
        <w:pStyle w:val="NoSpacing"/>
        <w:tabs>
          <w:tab w:val="clear" w:pos="709"/>
          <w:tab w:val="right" w:pos="4678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2026 год –</w:t>
      </w:r>
      <w:r>
        <w:rPr>
          <w:sz w:val="32"/>
          <w:szCs w:val="28"/>
        </w:rPr>
        <w:tab/>
      </w:r>
      <w:r>
        <w:rPr>
          <w:sz w:val="28"/>
          <w:szCs w:val="24"/>
        </w:rPr>
        <w:t>10 214 029</w:t>
      </w:r>
      <w:r>
        <w:rPr>
          <w:sz w:val="28"/>
          <w:szCs w:val="28"/>
        </w:rPr>
        <w:t>,00 рублей.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Мероприятия по обеспечению выполнения мероприятий в сфере предупреждения возникновения и развития чрезвычайных ситуаций в Чебаркульском городском округе, предусмотренные муниципальной программой, будут производиться в объемах, обеспеченных финансированием.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реализацию мероприятий муниципальной программы могут быть привлечены средства прочих источников в порядке, определенном законодательством Российской Федерации.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6. Организация управления</w:t>
        <w:br/>
        <w:t>и механизм реализации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rPr/>
      </w:pPr>
      <w:r>
        <w:rPr>
          <w:sz w:val="28"/>
          <w:szCs w:val="28"/>
        </w:rPr>
        <w:t xml:space="preserve">Ответственным исполнителем муниципальной программы </w:t>
      </w:r>
      <w:r>
        <w:rPr/>
        <w:t>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</w:t>
      </w:r>
      <w:r>
        <w:rPr>
          <w:sz w:val="28"/>
          <w:szCs w:val="28"/>
        </w:rPr>
        <w:t xml:space="preserve"> является администрация Чебаркульского городского округа.</w:t>
      </w:r>
    </w:p>
    <w:p>
      <w:pPr>
        <w:pStyle w:val="NoSpacing"/>
        <w:tabs>
          <w:tab w:val="clear" w:pos="709"/>
          <w:tab w:val="right" w:pos="10092" w:leader="none"/>
        </w:tabs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 включает в себя: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ежеквартальный мониторинг выполнения муниципальной программы (до 15 числа месяца, следующего за отчетным кварталом);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своевременное выполнение мероприятий, целевое и эффективное использование бюджетных средств, выделяемых на их реализацию;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подготовку проектов нормативно-правовых актов о внесении в установленном порядке изменений и дополнений в муниципальную программу, на основании внесения изменений в бюджет;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оценку эффективности реализации мероприятий муниципальной программы;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 подготовку ежегодного отчета о реализации муниципальной программы и достигнутых результатов.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 целях контроля реализации муниципальной программы исполнитель муниципальной программы в срок до 30 числа месяца, следующего за отчетным кварталом, осуществляет мониторинг реализации муниципальной программы.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Соисполнитель муниципальной программы в пределах своей компетенции ежеквартально (за исключением IV квартала), до 15 числа месяца, следующего за отчетным кварталом, направляют ответственному исполнителю информацию для проведения мониторинга о ходе реализации муниципальной программы.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Результаты мониторинга предоставляются координатору муниципальной программы в срок до 30 числа месяца, следующим за отчетным кварталом. Годовой отчет о реализации и оценке эффективности муниципальной программы подготавливается ответственным исполнителем до 1 марта года, следующего за отчетным, и направляется в экономический отдел администрации Чебаркульского городского округа.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реализации муниципальной программы составляется в соответствии с разделом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Порядка разработки, реализации и оценки эффективности муниципальных программ Чебаркульского городского округа, утвержденном постановлением администрации Чебаркульского городского округа от 18.05.2022 № 322.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Контроль за ходом выполнения муниципальной программы осуществляет координатор.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Публичность информации о муниципальной программе обеспечивается посредством размещения в сети Интернет.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>Раздел 7. Ожидаемые результаты реализации муниципальной программы</w:t>
        <w:br/>
        <w:t>с указанием показателей (индикаторов)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Выполнение программных мероприятий 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 в 2024-2026 годах обеспечит:</w:t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- снижение вероятности возникновения чрезвычайных ситуаций, снижение количества погибших при ЧС, уменьшение ущерба от последствий ЧС;</w:t>
      </w:r>
    </w:p>
    <w:p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- сокращение сроков прохождения информации о возможных чрезвычайных ситуациях и своевременное реагирование;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снижение количества происшествий на водных объектах.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промежуточных и конечных результатов реализации Программы будут использоваться следующие целевые индикаторы, отраженные в следующей таблице:</w:t>
      </w:r>
    </w:p>
    <w:tbl>
      <w:tblPr>
        <w:tblW w:w="9745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6"/>
        <w:gridCol w:w="2836"/>
        <w:gridCol w:w="850"/>
        <w:gridCol w:w="992"/>
        <w:gridCol w:w="993"/>
        <w:gridCol w:w="1170"/>
        <w:gridCol w:w="1168"/>
        <w:gridCol w:w="1168"/>
      </w:tblGrid>
      <w:tr>
        <w:trPr>
          <w:trHeight w:val="676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</w:t>
              <w:softHyphen/>
              <w:t>ница изме</w:t>
              <w:softHyphen/>
              <w:t>рения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</w:t>
              <w:softHyphen/>
              <w:t>руемое значение показа</w:t>
              <w:softHyphen/>
              <w:t>теля на 2024 год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</w:t>
              <w:softHyphen/>
              <w:t>руемое значение показа</w:t>
              <w:softHyphen/>
              <w:t>теля на 2025 год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</w:t>
              <w:softHyphen/>
              <w:t>руемое значение показа</w:t>
              <w:softHyphen/>
              <w:t>теля на 2026 год</w:t>
            </w:r>
          </w:p>
        </w:tc>
      </w:tr>
      <w:tr>
        <w:trPr>
          <w:trHeight w:val="90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10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  <w:br/>
              <w:t>(отчет)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  <w:br/>
              <w:t>(прогноз)</w:t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отработанных вызовов поступившей информации об угрозе возникновения чрезвычайных ситуаций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120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обученного населения мерам пожарной безопасности от общего количества населения ЧГО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>
        <w:trPr>
          <w:trHeight w:val="120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</w:t>
              <w:softHyphen/>
              <w:t>приятий по пожарной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Доля населения, охваченного пропагандой пожарной безопасности и безопасности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>
        <w:trPr>
          <w:trHeight w:val="120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информации, направленной на обеспечение пожарной безопасности и безопасности людей на водных объектах на сайте администрации, </w:t>
            </w:r>
            <w:r>
              <w:rPr>
                <w:sz w:val="24"/>
                <w:szCs w:val="24"/>
                <w:shd w:fill="FFFFFF" w:val="clear"/>
              </w:rPr>
              <w:t>информационных стендах, баннерах, брошюрах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>
        <w:trPr>
          <w:trHeight w:val="120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/>
              <w:t>Организация возможности приема сообщений по возникновению или угрозе ландшафтных (природных) пожаров средствами службы МКУ ЕДДС -112 Чебаркульского городского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приобретенных материальных средств на обеспечение ПВР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/>
            </w:pPr>
            <w:r>
              <w:rPr/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приобретенных индивидуальных аптечек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/>
            </w:pPr>
            <w:r>
              <w:rPr/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both"/>
              <w:rPr>
                <w:color w:val="auto"/>
              </w:rPr>
            </w:pPr>
            <w:r>
              <w:rPr/>
              <w:t>Устройство минерализованной полосы вдоль границ Чебаркульского городского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 w:left="-57" w:right="-57"/>
              <w:jc w:val="center"/>
              <w:rPr/>
            </w:pPr>
            <w:r>
              <w:rPr/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8. Финансово-экономическое обоснование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>Финансирование муниципальной программы «Обеспечение выполнения мероприятий в области защиты населения и территорий от чрезвычайных ситуаций, обеспечения пожарной безопасности и безопасности людей на водных объектах в Чебаркульском городском округе» в 2024-2026 годах осуществляется за счет средств местного бюджета.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на реализацию программы включают в себя общий объем бюджетных ассигнований бюджета городского округа на обеспечение деятельности МКУ «</w:t>
      </w:r>
      <w:r>
        <w:rPr>
          <w:rFonts w:cs="Times New Roman" w:ascii="Times New Roman" w:hAnsi="Times New Roman"/>
          <w:sz w:val="28"/>
          <w:szCs w:val="28"/>
          <w:lang w:eastAsia="ru-RU"/>
        </w:rPr>
        <w:t>Единая дежурно-диспетчерская служба</w:t>
      </w:r>
      <w:r>
        <w:rPr>
          <w:rFonts w:cs="Times New Roman" w:ascii="Times New Roman" w:hAnsi="Times New Roman"/>
          <w:sz w:val="28"/>
          <w:szCs w:val="28"/>
        </w:rPr>
        <w:t xml:space="preserve"> Чебаркульского городского округа», размещение баннера по пожарной безопасности и приобретение материальных средств для реализации мероприятий по устранению чрезвычайных ситуаций и их последствий.</w:t>
      </w:r>
    </w:p>
    <w:p>
      <w:pPr>
        <w:pStyle w:val="NoSpacing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 9.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Перечень и краткое описание подпрограмм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Муниципальной программой не предусмотрена реализация подпрограмм.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Раздел 10. Перечень и краткое описание проектов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Реализация региональных и национальных проектов в рамках данной муниципальной программы не предусмотрена.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701" w:right="567" w:gutter="0" w:header="567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Preformatted" w:uiPriority="99"/>
    <w:lsdException w:name="Table Grid" w:lock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e48bb"/>
    <w:pPr>
      <w:widowControl/>
      <w:suppressAutoHyphens w:val="true"/>
      <w:bidi w:val="0"/>
      <w:spacing w:lineRule="auto" w:line="276" w:before="0" w:after="200"/>
      <w:jc w:val="center"/>
    </w:pPr>
    <w:rPr>
      <w:rFonts w:eastAsia="Times New Roman" w:cs="Calibri" w:ascii="Calibri" w:hAnsi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qFormat/>
    <w:locked/>
    <w:rsid w:val="00dc5cf6"/>
    <w:pPr>
      <w:keepNext w:val="true"/>
      <w:suppressAutoHyphens w:val="true"/>
      <w:spacing w:lineRule="auto" w:line="360" w:before="0" w:after="0"/>
      <w:ind w:hanging="360" w:left="720"/>
      <w:outlineLvl w:val="0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locked/>
    <w:rsid w:val="006303a2"/>
    <w:rPr>
      <w:rFonts w:ascii="Times New Roman" w:hAnsi="Times New Roman" w:eastAsia="Times New Roman"/>
      <w:b/>
      <w:bCs/>
      <w:sz w:val="32"/>
      <w:szCs w:val="32"/>
      <w:lang w:eastAsia="ar-SA"/>
    </w:rPr>
  </w:style>
  <w:style w:type="character" w:styleId="Style13" w:customStyle="1">
    <w:name w:val="Основной текст Знак"/>
    <w:semiHidden/>
    <w:qFormat/>
    <w:locked/>
    <w:rsid w:val="006303a2"/>
    <w:rPr>
      <w:rFonts w:cs="Calibri"/>
      <w:lang w:eastAsia="en-US"/>
    </w:rPr>
  </w:style>
  <w:style w:type="character" w:styleId="Strong">
    <w:name w:val="Strong"/>
    <w:uiPriority w:val="22"/>
    <w:qFormat/>
    <w:locked/>
    <w:rsid w:val="00c926c8"/>
    <w:rPr>
      <w:b/>
      <w:bCs/>
    </w:rPr>
  </w:style>
  <w:style w:type="character" w:styleId="Style14" w:customStyle="1">
    <w:name w:val="Текст выноски Знак"/>
    <w:link w:val="BalloonText"/>
    <w:qFormat/>
    <w:rsid w:val="0078550e"/>
    <w:rPr>
      <w:rFonts w:ascii="Tahoma" w:hAnsi="Tahoma" w:eastAsia="Times New Roman" w:cs="Tahoma"/>
      <w:sz w:val="16"/>
      <w:szCs w:val="16"/>
      <w:lang w:eastAsia="en-US"/>
    </w:rPr>
  </w:style>
  <w:style w:type="character" w:styleId="Style15" w:customStyle="1">
    <w:name w:val="Верхний колонтитул Знак"/>
    <w:uiPriority w:val="99"/>
    <w:qFormat/>
    <w:rsid w:val="00e93845"/>
    <w:rPr>
      <w:rFonts w:eastAsia="Times New Roman" w:cs="Calibri"/>
      <w:sz w:val="22"/>
      <w:szCs w:val="22"/>
      <w:lang w:eastAsia="en-US"/>
    </w:rPr>
  </w:style>
  <w:style w:type="character" w:styleId="Style16" w:customStyle="1">
    <w:name w:val="Нижний колонтитул Знак"/>
    <w:uiPriority w:val="99"/>
    <w:qFormat/>
    <w:rsid w:val="00e93845"/>
    <w:rPr>
      <w:rFonts w:eastAsia="Times New Roman" w:cs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cc6f8a"/>
    <w:rPr>
      <w:color w:val="0000FF"/>
      <w:u w:val="single"/>
    </w:rPr>
  </w:style>
  <w:style w:type="character" w:styleId="HTML" w:customStyle="1">
    <w:name w:val="Стандартный HTML Знак"/>
    <w:link w:val="HTMLPreformatted"/>
    <w:uiPriority w:val="99"/>
    <w:qFormat/>
    <w:rsid w:val="00ea2207"/>
    <w:rPr>
      <w:rFonts w:ascii="Courier New" w:hAnsi="Courier New" w:eastAsia="Times New Roman" w:cs="Courier New"/>
    </w:rPr>
  </w:style>
  <w:style w:type="character" w:styleId="Style17" w:customStyle="1">
    <w:name w:val="Гипертекстовая ссылка"/>
    <w:qFormat/>
    <w:rsid w:val="002e4425"/>
    <w:rPr>
      <w:rFonts w:cs="Times New Roman"/>
      <w:b/>
      <w:color w:val="008000"/>
    </w:rPr>
  </w:style>
  <w:style w:type="character" w:styleId="Style18" w:customStyle="1">
    <w:name w:val="Без интервала Знак"/>
    <w:link w:val="NoSpacing"/>
    <w:qFormat/>
    <w:locked/>
    <w:rsid w:val="00167d8b"/>
    <w:rPr>
      <w:rFonts w:ascii="Times New Roman" w:hAnsi="Times New Roman" w:eastAsia="Times New Roman"/>
      <w:sz w:val="26"/>
      <w:lang w:bidi="ar-SA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3"/>
    <w:semiHidden/>
    <w:rsid w:val="00dc5cf6"/>
    <w:pPr>
      <w:suppressAutoHyphens w:val="true"/>
      <w:spacing w:lineRule="auto" w:line="240" w:before="0" w:after="0"/>
      <w:jc w:val="both"/>
    </w:pPr>
    <w:rPr>
      <w:rFonts w:eastAsia="Calibri" w:cs="Times New Roman"/>
      <w:sz w:val="20"/>
      <w:szCs w:val="20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1" w:customStyle="1">
    <w:name w:val="Абзац списка1"/>
    <w:basedOn w:val="Normal"/>
    <w:qFormat/>
    <w:rsid w:val="00a516e9"/>
    <w:pPr>
      <w:ind w:left="720"/>
    </w:pPr>
    <w:rPr/>
  </w:style>
  <w:style w:type="paragraph" w:styleId="NormalWeb">
    <w:name w:val="Normal (Web)"/>
    <w:basedOn w:val="Normal"/>
    <w:uiPriority w:val="99"/>
    <w:unhideWhenUsed/>
    <w:qFormat/>
    <w:rsid w:val="008b029b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qFormat/>
    <w:rsid w:val="0078550e"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e9384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Footer">
    <w:name w:val="Footer"/>
    <w:basedOn w:val="Normal"/>
    <w:link w:val="Style16"/>
    <w:uiPriority w:val="99"/>
    <w:rsid w:val="00e93845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Default" w:customStyle="1">
    <w:name w:val="Default"/>
    <w:qFormat/>
    <w:rsid w:val="00e52ad2"/>
    <w:pPr>
      <w:widowControl/>
      <w:bidi w:val="0"/>
      <w:spacing w:before="0" w:after="0"/>
      <w:jc w:val="center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ea2207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Times New Roman"/>
      <w:sz w:val="20"/>
      <w:szCs w:val="20"/>
    </w:rPr>
  </w:style>
  <w:style w:type="paragraph" w:styleId="ConsPlusNonformat" w:customStyle="1">
    <w:name w:val="ConsPlusNonformat"/>
    <w:qFormat/>
    <w:rsid w:val="00c77ef0"/>
    <w:pPr>
      <w:widowControl w:val="false"/>
      <w:bidi w:val="0"/>
      <w:spacing w:before="0" w:after="0"/>
      <w:jc w:val="center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001bd0"/>
    <w:pPr>
      <w:widowControl/>
      <w:bidi w:val="0"/>
      <w:spacing w:before="0" w:after="0"/>
      <w:jc w:val="center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ConsPlusTitle" w:customStyle="1">
    <w:name w:val="ConsPlusTitle"/>
    <w:uiPriority w:val="99"/>
    <w:qFormat/>
    <w:rsid w:val="00d56cdf"/>
    <w:pPr>
      <w:widowControl w:val="false"/>
      <w:bidi w:val="0"/>
      <w:spacing w:before="0" w:after="0"/>
      <w:jc w:val="center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link w:val="Style18"/>
    <w:qFormat/>
    <w:rsid w:val="00d56cdf"/>
    <w:pPr>
      <w:widowControl/>
      <w:bidi w:val="0"/>
      <w:spacing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ru-RU" w:bidi="ar-SA"/>
    </w:rPr>
  </w:style>
  <w:style w:type="paragraph" w:styleId="Style61" w:customStyle="1">
    <w:name w:val="Style6"/>
    <w:basedOn w:val="Normal"/>
    <w:qFormat/>
    <w:rsid w:val="00167d8b"/>
    <w:pPr>
      <w:widowControl w:val="false"/>
      <w:spacing w:lineRule="exact" w:line="322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516e9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53EC-48D2-46C7-8BCD-29896BA4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LibreOffice/24.2.3.2$Linux_X86_64 LibreOffice_project/420$Build-2</Application>
  <AppVersion>15.0000</AppVersion>
  <Pages>19</Pages>
  <Words>3636</Words>
  <Characters>26508</Characters>
  <CharactersWithSpaces>29689</CharactersWithSpaces>
  <Paragraphs>519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2023-11-14T11:24:00Z</dcterms:created>
  <dc:creator>Admin</dc:creator>
  <dc:description/>
  <dc:language>ru-RU</dc:language>
  <cp:lastModifiedBy/>
  <cp:lastPrinted>2023-11-14T11:41:00Z</cp:lastPrinted>
  <dcterms:modified xsi:type="dcterms:W3CDTF">2025-01-21T16:15:00Z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